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 8: The Muslim World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3: Muslim Culture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Muslim Society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 List the four social classes of Baghdad.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Muslim Scholarship Extends Knowledge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Give two practical reasons why the Muslims supported the advancement of science 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What is the House of Wisdom and what kind of scholars were there?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Arts and Sciences Flourish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Explain a Muslim contribution in medicine, mathematics, and astronomy.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a)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b)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c)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Philosophy and Religion Blend Views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 What is the advantage of blending various traditions within a culture?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